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pPr>
      <w:r>
        <w:rPr>
          <w:color w:val="006FC0"/>
        </w:rPr>
        <w:t>Le composite pose un nouveau standard pour la manutention</w:t>
      </w:r>
    </w:p>
    <w:p>
      <w:pPr>
        <w:pStyle w:val="BodyText"/>
        <w:rPr>
          <w:b/>
          <w:sz w:val="20"/>
        </w:rPr>
      </w:pPr>
    </w:p>
    <w:p>
      <w:pPr>
        <w:pStyle w:val="BodyText"/>
        <w:spacing w:before="5"/>
        <w:rPr>
          <w:b/>
          <w:sz w:val="10"/>
        </w:rPr>
      </w:pPr>
      <w:r>
        <w:rPr/>
        <w:drawing>
          <wp:anchor distT="0" distB="0" distL="0" distR="0" allowOverlap="1" layoutInCell="1" locked="0" behindDoc="0" simplePos="0" relativeHeight="0">
            <wp:simplePos x="0" y="0"/>
            <wp:positionH relativeFrom="page">
              <wp:posOffset>1776095</wp:posOffset>
            </wp:positionH>
            <wp:positionV relativeFrom="paragraph">
              <wp:posOffset>105697</wp:posOffset>
            </wp:positionV>
            <wp:extent cx="3989850" cy="3246120"/>
            <wp:effectExtent l="0" t="0" r="0" b="0"/>
            <wp:wrapTopAndBottom/>
            <wp:docPr id="3" name="image2.jpeg" descr="H:\United Utilities - Laing O'rouke Cloughbottom WTW\IMG_4796.JP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3989850" cy="3246120"/>
                    </a:xfrm>
                    <a:prstGeom prst="rect">
                      <a:avLst/>
                    </a:prstGeom>
                  </pic:spPr>
                </pic:pic>
              </a:graphicData>
            </a:graphic>
          </wp:anchor>
        </w:drawing>
      </w:r>
    </w:p>
    <w:p>
      <w:pPr>
        <w:spacing w:before="74"/>
        <w:ind w:left="1750" w:right="2747" w:firstLine="0"/>
        <w:jc w:val="center"/>
        <w:rPr>
          <w:i/>
          <w:sz w:val="22"/>
        </w:rPr>
      </w:pPr>
      <w:r>
        <w:rPr>
          <w:i/>
          <w:sz w:val="22"/>
        </w:rPr>
        <w:t>Les lourds tampons d’accès en acier nécessitent 4 personnes pour</w:t>
      </w:r>
    </w:p>
    <w:p>
      <w:pPr>
        <w:spacing w:before="22"/>
        <w:ind w:left="1750" w:right="2744" w:firstLine="0"/>
        <w:jc w:val="center"/>
        <w:rPr>
          <w:i/>
          <w:sz w:val="22"/>
        </w:rPr>
      </w:pPr>
      <w:r>
        <w:rPr>
          <w:i/>
          <w:sz w:val="22"/>
        </w:rPr>
        <w:t>les enlever et les remettre dans des conditions dangereuses</w:t>
      </w:r>
    </w:p>
    <w:p>
      <w:pPr>
        <w:pStyle w:val="BodyText"/>
        <w:spacing w:before="3"/>
        <w:rPr>
          <w:i/>
          <w:sz w:val="14"/>
        </w:rPr>
      </w:pPr>
    </w:p>
    <w:p>
      <w:pPr>
        <w:pStyle w:val="BodyText"/>
        <w:spacing w:line="480" w:lineRule="auto" w:before="72"/>
        <w:ind w:left="160" w:right="1154"/>
        <w:jc w:val="both"/>
      </w:pPr>
      <w:r>
        <w:rPr/>
        <w:t>Au</w:t>
      </w:r>
      <w:r>
        <w:rPr>
          <w:spacing w:val="-4"/>
        </w:rPr>
        <w:t> </w:t>
      </w:r>
      <w:r>
        <w:rPr/>
        <w:t>cours</w:t>
      </w:r>
      <w:r>
        <w:rPr>
          <w:spacing w:val="-6"/>
        </w:rPr>
        <w:t> </w:t>
      </w:r>
      <w:r>
        <w:rPr/>
        <w:t>des</w:t>
      </w:r>
      <w:r>
        <w:rPr>
          <w:spacing w:val="-6"/>
        </w:rPr>
        <w:t> </w:t>
      </w:r>
      <w:r>
        <w:rPr/>
        <w:t>deux</w:t>
      </w:r>
      <w:r>
        <w:rPr>
          <w:spacing w:val="-5"/>
        </w:rPr>
        <w:t> </w:t>
      </w:r>
      <w:r>
        <w:rPr/>
        <w:t>dernières</w:t>
      </w:r>
      <w:r>
        <w:rPr>
          <w:spacing w:val="-5"/>
        </w:rPr>
        <w:t> </w:t>
      </w:r>
      <w:r>
        <w:rPr/>
        <w:t>années,</w:t>
      </w:r>
      <w:r>
        <w:rPr>
          <w:spacing w:val="-7"/>
        </w:rPr>
        <w:t> </w:t>
      </w:r>
      <w:r>
        <w:rPr/>
        <w:t>4,5</w:t>
      </w:r>
      <w:r>
        <w:rPr>
          <w:spacing w:val="-3"/>
        </w:rPr>
        <w:t> </w:t>
      </w:r>
      <w:r>
        <w:rPr/>
        <w:t>millions</w:t>
      </w:r>
      <w:r>
        <w:rPr>
          <w:spacing w:val="-7"/>
        </w:rPr>
        <w:t> </w:t>
      </w:r>
      <w:r>
        <w:rPr/>
        <w:t>de</w:t>
      </w:r>
      <w:r>
        <w:rPr>
          <w:spacing w:val="-3"/>
        </w:rPr>
        <w:t> </w:t>
      </w:r>
      <w:r>
        <w:rPr/>
        <w:t>jours</w:t>
      </w:r>
      <w:r>
        <w:rPr>
          <w:spacing w:val="-6"/>
        </w:rPr>
        <w:t> </w:t>
      </w:r>
      <w:r>
        <w:rPr/>
        <w:t>de</w:t>
      </w:r>
      <w:r>
        <w:rPr>
          <w:spacing w:val="-4"/>
        </w:rPr>
        <w:t> </w:t>
      </w:r>
      <w:r>
        <w:rPr/>
        <w:t>travail</w:t>
      </w:r>
      <w:r>
        <w:rPr>
          <w:vertAlign w:val="superscript"/>
        </w:rPr>
        <w:t>1</w:t>
      </w:r>
      <w:r>
        <w:rPr>
          <w:spacing w:val="-4"/>
          <w:vertAlign w:val="baseline"/>
        </w:rPr>
        <w:t> </w:t>
      </w:r>
      <w:r>
        <w:rPr>
          <w:vertAlign w:val="baseline"/>
        </w:rPr>
        <w:t>ont</w:t>
      </w:r>
      <w:r>
        <w:rPr>
          <w:spacing w:val="-5"/>
          <w:vertAlign w:val="baseline"/>
        </w:rPr>
        <w:t> </w:t>
      </w:r>
      <w:r>
        <w:rPr>
          <w:vertAlign w:val="baseline"/>
        </w:rPr>
        <w:t>été</w:t>
      </w:r>
      <w:r>
        <w:rPr>
          <w:spacing w:val="-6"/>
          <w:vertAlign w:val="baseline"/>
        </w:rPr>
        <w:t> </w:t>
      </w:r>
      <w:r>
        <w:rPr>
          <w:vertAlign w:val="baseline"/>
        </w:rPr>
        <w:t>perdus</w:t>
      </w:r>
      <w:r>
        <w:rPr>
          <w:spacing w:val="-7"/>
          <w:vertAlign w:val="baseline"/>
        </w:rPr>
        <w:t> </w:t>
      </w:r>
      <w:r>
        <w:rPr>
          <w:vertAlign w:val="baseline"/>
        </w:rPr>
        <w:t>en</w:t>
      </w:r>
      <w:r>
        <w:rPr>
          <w:spacing w:val="-4"/>
          <w:vertAlign w:val="baseline"/>
        </w:rPr>
        <w:t> </w:t>
      </w:r>
      <w:r>
        <w:rPr>
          <w:vertAlign w:val="baseline"/>
        </w:rPr>
        <w:t>raison d’accidents de travail. Un cinquième de ces problèmes a été causé par une manutention</w:t>
      </w:r>
      <w:r>
        <w:rPr>
          <w:vertAlign w:val="superscript"/>
        </w:rPr>
        <w:t>2</w:t>
      </w:r>
      <w:r>
        <w:rPr>
          <w:vertAlign w:val="baseline"/>
        </w:rPr>
        <w:t>. Une activité courante qui contribue à cela, posant un risque élevé de blessures liées à la manipulation manuelle, est le retrait et le remplacement de lourds couvercles de trous d'homme et de tranchées en béton ou en métal. Leur position et leur poids en font un coupable idéal pour les blessures au dos et aux doigts qui peuvent être aggravées si les tampons se corrodent ou s'effritent.</w:t>
      </w:r>
    </w:p>
    <w:p>
      <w:pPr>
        <w:pStyle w:val="BodyText"/>
      </w:pPr>
    </w:p>
    <w:p>
      <w:pPr>
        <w:pStyle w:val="BodyText"/>
      </w:pPr>
    </w:p>
    <w:p>
      <w:pPr>
        <w:pStyle w:val="BodyText"/>
        <w:spacing w:before="4"/>
        <w:rPr>
          <w:sz w:val="26"/>
        </w:rPr>
      </w:pPr>
    </w:p>
    <w:p>
      <w:pPr>
        <w:spacing w:line="243" w:lineRule="exact" w:before="0"/>
        <w:ind w:left="160" w:right="0" w:firstLine="0"/>
        <w:jc w:val="both"/>
        <w:rPr>
          <w:sz w:val="20"/>
        </w:rPr>
      </w:pPr>
      <w:r>
        <w:rPr>
          <w:sz w:val="20"/>
          <w:vertAlign w:val="superscript"/>
        </w:rPr>
        <w:t>1</w:t>
      </w:r>
      <w:r>
        <w:rPr>
          <w:sz w:val="20"/>
          <w:vertAlign w:val="baseline"/>
        </w:rPr>
        <w:t> ‘Working days lost’ </w:t>
      </w:r>
      <w:hyperlink r:id="rId8">
        <w:r>
          <w:rPr>
            <w:color w:val="0462C1"/>
            <w:sz w:val="20"/>
            <w:u w:val="single" w:color="0462C1"/>
            <w:vertAlign w:val="baseline"/>
          </w:rPr>
          <w:t>http://www.hse.gov.uk/statistics/dayslost.htm</w:t>
        </w:r>
      </w:hyperlink>
    </w:p>
    <w:p>
      <w:pPr>
        <w:spacing w:line="268" w:lineRule="exact" w:before="0"/>
        <w:ind w:left="160" w:right="0" w:firstLine="0"/>
        <w:jc w:val="both"/>
        <w:rPr>
          <w:sz w:val="22"/>
        </w:rPr>
      </w:pPr>
      <w:r>
        <w:rPr>
          <w:sz w:val="22"/>
          <w:vertAlign w:val="superscript"/>
        </w:rPr>
        <w:t>2</w:t>
      </w:r>
      <w:r>
        <w:rPr>
          <w:sz w:val="22"/>
          <w:vertAlign w:val="baseline"/>
        </w:rPr>
        <w:t> ‘Work place industry-all injuries’ </w:t>
      </w:r>
      <w:hyperlink r:id="rId9">
        <w:r>
          <w:rPr>
            <w:color w:val="0462C1"/>
            <w:sz w:val="22"/>
            <w:u w:val="single" w:color="0462C1"/>
            <w:vertAlign w:val="baseline"/>
          </w:rPr>
          <w:t>http://www.hse.gov.uk/statistics/causinj/</w:t>
        </w:r>
      </w:hyperlink>
    </w:p>
    <w:p>
      <w:pPr>
        <w:spacing w:after="0" w:line="268" w:lineRule="exact"/>
        <w:jc w:val="both"/>
        <w:rPr>
          <w:sz w:val="22"/>
        </w:rPr>
        <w:sectPr>
          <w:headerReference w:type="default" r:id="rId5"/>
          <w:footerReference w:type="default" r:id="rId6"/>
          <w:type w:val="continuous"/>
          <w:pgSz w:w="11910" w:h="16840"/>
          <w:pgMar w:header="719" w:footer="1000" w:top="1660" w:bottom="1200" w:left="1280" w:right="280"/>
          <w:pgNumType w:start="1"/>
        </w:sectPr>
      </w:pPr>
    </w:p>
    <w:p>
      <w:pPr>
        <w:pStyle w:val="BodyText"/>
        <w:rPr>
          <w:sz w:val="20"/>
        </w:rPr>
      </w:pPr>
    </w:p>
    <w:p>
      <w:pPr>
        <w:pStyle w:val="BodyText"/>
        <w:rPr>
          <w:sz w:val="20"/>
        </w:rPr>
      </w:pPr>
    </w:p>
    <w:p>
      <w:pPr>
        <w:pStyle w:val="BodyText"/>
        <w:spacing w:before="7"/>
        <w:rPr>
          <w:sz w:val="27"/>
        </w:rPr>
      </w:pPr>
    </w:p>
    <w:p>
      <w:pPr>
        <w:pStyle w:val="Heading1"/>
        <w:spacing w:before="52"/>
        <w:jc w:val="both"/>
      </w:pPr>
      <w:r>
        <w:rPr>
          <w:color w:val="006FC0"/>
        </w:rPr>
        <w:t>Composites: le matériau du futur</w:t>
      </w:r>
    </w:p>
    <w:p>
      <w:pPr>
        <w:pStyle w:val="BodyText"/>
        <w:rPr>
          <w:b/>
        </w:rPr>
      </w:pPr>
    </w:p>
    <w:p>
      <w:pPr>
        <w:pStyle w:val="BodyText"/>
        <w:spacing w:line="480" w:lineRule="auto" w:before="161"/>
        <w:ind w:left="160" w:right="1153"/>
        <w:jc w:val="both"/>
      </w:pPr>
      <w:r>
        <w:rPr/>
        <w:t>Les matériaux composites révolutionnent un éventail toujours plus large d'industries, notamment l'aérospatiale, les infrastructures, la construction et maintenant la santé et la sécurité. Un certain nombre d'entreprises utilisent des composites pour créer des produits qui éliminent les problèmes liés à leur manipulation dans l'industrie des couvertures</w:t>
      </w:r>
      <w:r>
        <w:rPr>
          <w:spacing w:val="-34"/>
        </w:rPr>
        <w:t> </w:t>
      </w:r>
      <w:r>
        <w:rPr/>
        <w:t>d'accès.</w:t>
      </w:r>
    </w:p>
    <w:p>
      <w:pPr>
        <w:pStyle w:val="BodyText"/>
        <w:spacing w:line="482" w:lineRule="auto" w:before="160"/>
        <w:ind w:left="160" w:right="1155"/>
        <w:jc w:val="both"/>
      </w:pPr>
      <w:r>
        <w:rPr/>
        <w:t>Les composites sont légers tout en conservant leurs propriétés mécaniques. Cela signifie qu'une couverture composite avec la même capacité de charge qu'une couverture en</w:t>
      </w:r>
      <w:r>
        <w:rPr>
          <w:spacing w:val="33"/>
        </w:rPr>
        <w:t> </w:t>
      </w:r>
      <w:r>
        <w:rPr/>
        <w:t>béton</w:t>
      </w:r>
    </w:p>
    <w:p>
      <w:pPr>
        <w:pStyle w:val="BodyText"/>
        <w:spacing w:line="480" w:lineRule="auto"/>
        <w:ind w:left="4541" w:right="1155"/>
        <w:jc w:val="both"/>
      </w:pPr>
      <w:r>
        <w:rPr/>
        <w:pict>
          <v:group style="position:absolute;margin-left:69.599998pt;margin-top:10.435781pt;width:213.4pt;height:181.95pt;mso-position-horizontal-relative:page;mso-position-vertical-relative:paragraph;z-index:15729152" coordorigin="1392,209" coordsize="4268,3639">
            <v:shape style="position:absolute;left:1440;top:208;width:4220;height:3164" type="#_x0000_t75" stroked="false">
              <v:imagedata r:id="rId10" o:title=""/>
            </v:shape>
            <v:rect style="position:absolute;left:1392;top:3040;width:4267;height:807" filled="true" fillcolor="#ffffff" stroked="false">
              <v:fill type="solid"/>
            </v:rect>
            <v:shape style="position:absolute;left:1392;top:208;width:4268;height:3639" type="#_x0000_t202" filled="false" stroked="false">
              <v:textbox inset="0,0,0,0">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6"/>
                      <w:rPr>
                        <w:b/>
                        <w:sz w:val="18"/>
                      </w:rPr>
                    </w:pPr>
                  </w:p>
                  <w:p>
                    <w:pPr>
                      <w:spacing w:before="0"/>
                      <w:ind w:left="212" w:right="213" w:firstLine="0"/>
                      <w:jc w:val="center"/>
                      <w:rPr>
                        <w:i/>
                        <w:sz w:val="22"/>
                      </w:rPr>
                    </w:pPr>
                    <w:r>
                      <w:rPr>
                        <w:i/>
                        <w:sz w:val="22"/>
                      </w:rPr>
                      <w:t>Un tampon en métal très lourd nécessitant</w:t>
                    </w:r>
                  </w:p>
                  <w:p>
                    <w:pPr>
                      <w:spacing w:before="22"/>
                      <w:ind w:left="212" w:right="212" w:firstLine="0"/>
                      <w:jc w:val="center"/>
                      <w:rPr>
                        <w:i/>
                        <w:sz w:val="22"/>
                      </w:rPr>
                    </w:pPr>
                    <w:r>
                      <w:rPr>
                        <w:i/>
                        <w:sz w:val="22"/>
                      </w:rPr>
                      <w:t>l’utilisation d’une grue pour son levage</w:t>
                    </w:r>
                  </w:p>
                </w:txbxContent>
              </v:textbox>
              <w10:wrap type="none"/>
            </v:shape>
            <w10:wrap type="none"/>
          </v:group>
        </w:pict>
      </w:r>
      <w:r>
        <w:rPr/>
        <w:t>ou en métal pèsera beaucoup moins. Une société</w:t>
      </w:r>
      <w:r>
        <w:rPr>
          <w:spacing w:val="-13"/>
        </w:rPr>
        <w:t> </w:t>
      </w:r>
      <w:r>
        <w:rPr/>
        <w:t>appelée</w:t>
      </w:r>
      <w:r>
        <w:rPr>
          <w:spacing w:val="-11"/>
        </w:rPr>
        <w:t> </w:t>
      </w:r>
      <w:r>
        <w:rPr/>
        <w:t>Fibrelite</w:t>
      </w:r>
      <w:r>
        <w:rPr>
          <w:spacing w:val="-14"/>
        </w:rPr>
        <w:t> </w:t>
      </w:r>
      <w:r>
        <w:rPr/>
        <w:t>est</w:t>
      </w:r>
      <w:r>
        <w:rPr>
          <w:spacing w:val="-12"/>
        </w:rPr>
        <w:t> </w:t>
      </w:r>
      <w:r>
        <w:rPr/>
        <w:t>le</w:t>
      </w:r>
      <w:r>
        <w:rPr>
          <w:spacing w:val="-13"/>
        </w:rPr>
        <w:t> </w:t>
      </w:r>
      <w:r>
        <w:rPr/>
        <w:t>fer</w:t>
      </w:r>
      <w:r>
        <w:rPr>
          <w:spacing w:val="-13"/>
        </w:rPr>
        <w:t> </w:t>
      </w:r>
      <w:r>
        <w:rPr/>
        <w:t>de</w:t>
      </w:r>
      <w:r>
        <w:rPr>
          <w:spacing w:val="-13"/>
        </w:rPr>
        <w:t> </w:t>
      </w:r>
      <w:r>
        <w:rPr/>
        <w:t>lance</w:t>
      </w:r>
      <w:r>
        <w:rPr>
          <w:spacing w:val="-13"/>
        </w:rPr>
        <w:t> </w:t>
      </w:r>
      <w:r>
        <w:rPr/>
        <w:t>de</w:t>
      </w:r>
      <w:r>
        <w:rPr>
          <w:spacing w:val="-13"/>
        </w:rPr>
        <w:t> </w:t>
      </w:r>
      <w:r>
        <w:rPr/>
        <w:t>ce changement, avec leurs couvertures pesant environ un tiers des alternatives</w:t>
      </w:r>
      <w:r>
        <w:rPr>
          <w:spacing w:val="-40"/>
        </w:rPr>
        <w:t> </w:t>
      </w:r>
      <w:r>
        <w:rPr/>
        <w:t>traditionnelles, ce qui leur donne le meilleur rapport</w:t>
      </w:r>
      <w:r>
        <w:rPr>
          <w:spacing w:val="2"/>
        </w:rPr>
        <w:t> </w:t>
      </w:r>
      <w:r>
        <w:rPr/>
        <w:t>résistance</w:t>
      </w:r>
    </w:p>
    <w:p>
      <w:pPr>
        <w:pStyle w:val="BodyText"/>
        <w:spacing w:line="480" w:lineRule="auto"/>
        <w:ind w:left="4560" w:right="1156"/>
        <w:jc w:val="both"/>
      </w:pPr>
      <w:r>
        <w:rPr/>
        <w:t>/</w:t>
      </w:r>
      <w:r>
        <w:rPr>
          <w:spacing w:val="-13"/>
        </w:rPr>
        <w:t> </w:t>
      </w:r>
      <w:r>
        <w:rPr/>
        <w:t>poids</w:t>
      </w:r>
      <w:r>
        <w:rPr>
          <w:spacing w:val="-16"/>
        </w:rPr>
        <w:t> </w:t>
      </w:r>
      <w:r>
        <w:rPr/>
        <w:t>de</w:t>
      </w:r>
      <w:r>
        <w:rPr>
          <w:spacing w:val="-15"/>
        </w:rPr>
        <w:t> </w:t>
      </w:r>
      <w:r>
        <w:rPr/>
        <w:t>l'industrie.</w:t>
      </w:r>
      <w:r>
        <w:rPr>
          <w:spacing w:val="-16"/>
        </w:rPr>
        <w:t> </w:t>
      </w:r>
      <w:r>
        <w:rPr/>
        <w:t>Fibrelite</w:t>
      </w:r>
      <w:r>
        <w:rPr>
          <w:spacing w:val="-15"/>
        </w:rPr>
        <w:t> </w:t>
      </w:r>
      <w:r>
        <w:rPr/>
        <w:t>est</w:t>
      </w:r>
      <w:r>
        <w:rPr>
          <w:spacing w:val="-14"/>
        </w:rPr>
        <w:t> </w:t>
      </w:r>
      <w:r>
        <w:rPr/>
        <w:t>en</w:t>
      </w:r>
      <w:r>
        <w:rPr>
          <w:spacing w:val="-15"/>
        </w:rPr>
        <w:t> </w:t>
      </w:r>
      <w:r>
        <w:rPr/>
        <w:t>fait</w:t>
      </w:r>
      <w:r>
        <w:rPr>
          <w:spacing w:val="-14"/>
        </w:rPr>
        <w:t> </w:t>
      </w:r>
      <w:r>
        <w:rPr/>
        <w:t>la</w:t>
      </w:r>
      <w:r>
        <w:rPr>
          <w:spacing w:val="-16"/>
        </w:rPr>
        <w:t> </w:t>
      </w:r>
      <w:r>
        <w:rPr/>
        <w:t>seule entreprise   à   avoir   réussi   à   concevoir   et</w:t>
      </w:r>
      <w:r>
        <w:rPr>
          <w:spacing w:val="22"/>
        </w:rPr>
        <w:t> </w:t>
      </w:r>
      <w:r>
        <w:rPr/>
        <w:t>à</w:t>
      </w:r>
    </w:p>
    <w:p>
      <w:pPr>
        <w:pStyle w:val="BodyText"/>
        <w:spacing w:line="480" w:lineRule="auto"/>
        <w:ind w:left="160" w:right="1158"/>
        <w:jc w:val="both"/>
      </w:pPr>
      <w:r>
        <w:rPr/>
        <w:t>fabriquer des couvertures composites avec des capacités de charge supérieures à 40 tonnes (D400).</w:t>
      </w:r>
      <w:r>
        <w:rPr>
          <w:spacing w:val="-9"/>
        </w:rPr>
        <w:t> </w:t>
      </w:r>
      <w:r>
        <w:rPr/>
        <w:t>En</w:t>
      </w:r>
      <w:r>
        <w:rPr>
          <w:spacing w:val="-8"/>
        </w:rPr>
        <w:t> </w:t>
      </w:r>
      <w:r>
        <w:rPr/>
        <w:t>2016,</w:t>
      </w:r>
      <w:r>
        <w:rPr>
          <w:spacing w:val="-8"/>
        </w:rPr>
        <w:t> </w:t>
      </w:r>
      <w:r>
        <w:rPr/>
        <w:t>ils</w:t>
      </w:r>
      <w:r>
        <w:rPr>
          <w:spacing w:val="-6"/>
        </w:rPr>
        <w:t> </w:t>
      </w:r>
      <w:r>
        <w:rPr/>
        <w:t>ont</w:t>
      </w:r>
      <w:r>
        <w:rPr>
          <w:spacing w:val="-9"/>
        </w:rPr>
        <w:t> </w:t>
      </w:r>
      <w:r>
        <w:rPr/>
        <w:t>étendu</w:t>
      </w:r>
      <w:r>
        <w:rPr>
          <w:spacing w:val="-8"/>
        </w:rPr>
        <w:t> </w:t>
      </w:r>
      <w:r>
        <w:rPr/>
        <w:t>leur</w:t>
      </w:r>
      <w:r>
        <w:rPr>
          <w:spacing w:val="-6"/>
        </w:rPr>
        <w:t> </w:t>
      </w:r>
      <w:r>
        <w:rPr/>
        <w:t>gamme</w:t>
      </w:r>
      <w:r>
        <w:rPr>
          <w:spacing w:val="-8"/>
        </w:rPr>
        <w:t> </w:t>
      </w:r>
      <w:r>
        <w:rPr/>
        <w:t>jusqu'à</w:t>
      </w:r>
      <w:r>
        <w:rPr>
          <w:spacing w:val="-7"/>
        </w:rPr>
        <w:t> </w:t>
      </w:r>
      <w:r>
        <w:rPr/>
        <w:t>90</w:t>
      </w:r>
      <w:r>
        <w:rPr>
          <w:spacing w:val="-10"/>
        </w:rPr>
        <w:t> </w:t>
      </w:r>
      <w:r>
        <w:rPr/>
        <w:t>tonnes</w:t>
      </w:r>
      <w:r>
        <w:rPr>
          <w:spacing w:val="-9"/>
        </w:rPr>
        <w:t> </w:t>
      </w:r>
      <w:r>
        <w:rPr/>
        <w:t>(F900)</w:t>
      </w:r>
      <w:r>
        <w:rPr>
          <w:spacing w:val="-9"/>
        </w:rPr>
        <w:t> </w:t>
      </w:r>
      <w:r>
        <w:rPr/>
        <w:t>pour</w:t>
      </w:r>
      <w:r>
        <w:rPr>
          <w:spacing w:val="-9"/>
        </w:rPr>
        <w:t> </w:t>
      </w:r>
      <w:r>
        <w:rPr/>
        <w:t>les</w:t>
      </w:r>
      <w:r>
        <w:rPr>
          <w:spacing w:val="-6"/>
        </w:rPr>
        <w:t> </w:t>
      </w:r>
      <w:r>
        <w:rPr/>
        <w:t>aéroports</w:t>
      </w:r>
      <w:r>
        <w:rPr>
          <w:spacing w:val="-9"/>
        </w:rPr>
        <w:t> </w:t>
      </w:r>
      <w:r>
        <w:rPr/>
        <w:t>et</w:t>
      </w:r>
      <w:r>
        <w:rPr>
          <w:spacing w:val="-7"/>
        </w:rPr>
        <w:t> </w:t>
      </w:r>
      <w:r>
        <w:rPr/>
        <w:t>les ports.</w:t>
      </w:r>
    </w:p>
    <w:p>
      <w:pPr>
        <w:pStyle w:val="BodyText"/>
        <w:spacing w:line="480" w:lineRule="auto" w:before="156"/>
        <w:ind w:left="160" w:right="1157"/>
        <w:jc w:val="both"/>
      </w:pPr>
      <w:r>
        <w:rPr/>
        <w:t>David Holmes, directeur technique de Fibrelite témoigne « une ou deux personnes peuvent déplacer</w:t>
      </w:r>
      <w:r>
        <w:rPr>
          <w:spacing w:val="-8"/>
        </w:rPr>
        <w:t> </w:t>
      </w:r>
      <w:r>
        <w:rPr/>
        <w:t>n'importe</w:t>
      </w:r>
      <w:r>
        <w:rPr>
          <w:spacing w:val="-7"/>
        </w:rPr>
        <w:t> </w:t>
      </w:r>
      <w:r>
        <w:rPr/>
        <w:t>quelle</w:t>
      </w:r>
      <w:r>
        <w:rPr>
          <w:spacing w:val="-3"/>
        </w:rPr>
        <w:t> </w:t>
      </w:r>
      <w:r>
        <w:rPr/>
        <w:t>tampon</w:t>
      </w:r>
      <w:r>
        <w:rPr>
          <w:spacing w:val="-3"/>
        </w:rPr>
        <w:t> </w:t>
      </w:r>
      <w:r>
        <w:rPr/>
        <w:t>Fibrelite</w:t>
      </w:r>
      <w:r>
        <w:rPr>
          <w:spacing w:val="-5"/>
        </w:rPr>
        <w:t> </w:t>
      </w:r>
      <w:r>
        <w:rPr/>
        <w:t>rapidement</w:t>
      </w:r>
      <w:r>
        <w:rPr>
          <w:spacing w:val="-4"/>
        </w:rPr>
        <w:t> </w:t>
      </w:r>
      <w:r>
        <w:rPr/>
        <w:t>et</w:t>
      </w:r>
      <w:r>
        <w:rPr>
          <w:spacing w:val="-6"/>
        </w:rPr>
        <w:t> </w:t>
      </w:r>
      <w:r>
        <w:rPr/>
        <w:t>facilement</w:t>
      </w:r>
      <w:r>
        <w:rPr>
          <w:spacing w:val="-4"/>
        </w:rPr>
        <w:t> </w:t>
      </w:r>
      <w:r>
        <w:rPr/>
        <w:t>sans</w:t>
      </w:r>
      <w:r>
        <w:rPr>
          <w:spacing w:val="-6"/>
        </w:rPr>
        <w:t> </w:t>
      </w:r>
      <w:r>
        <w:rPr/>
        <w:t>risque</w:t>
      </w:r>
      <w:r>
        <w:rPr>
          <w:spacing w:val="-7"/>
        </w:rPr>
        <w:t> </w:t>
      </w:r>
      <w:r>
        <w:rPr/>
        <w:t>de</w:t>
      </w:r>
      <w:r>
        <w:rPr>
          <w:spacing w:val="-4"/>
        </w:rPr>
        <w:t> </w:t>
      </w:r>
      <w:r>
        <w:rPr/>
        <w:t>blessure au dos ou de doigts écrasés et quelle que soit la capacité de charge du tampon</w:t>
      </w:r>
      <w:r>
        <w:rPr>
          <w:spacing w:val="-11"/>
        </w:rPr>
        <w:t> </w:t>
      </w:r>
      <w:r>
        <w:rPr/>
        <w:t>»</w:t>
      </w:r>
    </w:p>
    <w:p>
      <w:pPr>
        <w:pStyle w:val="Heading1"/>
        <w:jc w:val="both"/>
      </w:pPr>
      <w:r>
        <w:rPr>
          <w:color w:val="006FC0"/>
        </w:rPr>
        <w:t>Fibrelite ‘élimine les risques liés à la manutention des couvercles et tampons’</w:t>
      </w:r>
    </w:p>
    <w:p>
      <w:pPr>
        <w:spacing w:after="0"/>
        <w:jc w:val="both"/>
        <w:sectPr>
          <w:pgSz w:w="11910" w:h="16840"/>
          <w:pgMar w:header="719" w:footer="1000" w:top="1660" w:bottom="1200" w:left="1280" w:right="280"/>
        </w:sectPr>
      </w:pPr>
    </w:p>
    <w:p>
      <w:pPr>
        <w:pStyle w:val="BodyText"/>
        <w:rPr>
          <w:b/>
          <w:sz w:val="20"/>
        </w:rPr>
      </w:pPr>
    </w:p>
    <w:p>
      <w:pPr>
        <w:pStyle w:val="BodyText"/>
        <w:rPr>
          <w:b/>
          <w:sz w:val="20"/>
        </w:rPr>
      </w:pPr>
    </w:p>
    <w:p>
      <w:pPr>
        <w:pStyle w:val="BodyText"/>
        <w:spacing w:before="7"/>
        <w:rPr>
          <w:b/>
          <w:sz w:val="27"/>
        </w:rPr>
      </w:pPr>
    </w:p>
    <w:p>
      <w:pPr>
        <w:pStyle w:val="BodyText"/>
        <w:spacing w:line="480" w:lineRule="auto" w:before="52"/>
        <w:ind w:left="160" w:right="4538"/>
        <w:jc w:val="both"/>
      </w:pPr>
      <w:r>
        <w:rPr/>
        <w:drawing>
          <wp:anchor distT="0" distB="0" distL="0" distR="0" allowOverlap="1" layoutInCell="1" locked="0" behindDoc="0" simplePos="0" relativeHeight="15729664">
            <wp:simplePos x="0" y="0"/>
            <wp:positionH relativeFrom="page">
              <wp:posOffset>4611370</wp:posOffset>
            </wp:positionH>
            <wp:positionV relativeFrom="paragraph">
              <wp:posOffset>78051</wp:posOffset>
            </wp:positionV>
            <wp:extent cx="2702560" cy="2026920"/>
            <wp:effectExtent l="0" t="0" r="0" b="0"/>
            <wp:wrapNone/>
            <wp:docPr id="5" name="image4.jpeg"/>
            <wp:cNvGraphicFramePr>
              <a:graphicFrameLocks noChangeAspect="1"/>
            </wp:cNvGraphicFramePr>
            <a:graphic>
              <a:graphicData uri="http://schemas.openxmlformats.org/drawingml/2006/picture">
                <pic:pic>
                  <pic:nvPicPr>
                    <pic:cNvPr id="6" name="image4.jpeg"/>
                    <pic:cNvPicPr/>
                  </pic:nvPicPr>
                  <pic:blipFill>
                    <a:blip r:embed="rId11" cstate="print"/>
                    <a:stretch>
                      <a:fillRect/>
                    </a:stretch>
                  </pic:blipFill>
                  <pic:spPr>
                    <a:xfrm>
                      <a:off x="0" y="0"/>
                      <a:ext cx="2702560" cy="2026920"/>
                    </a:xfrm>
                    <a:prstGeom prst="rect">
                      <a:avLst/>
                    </a:prstGeom>
                  </pic:spPr>
                </pic:pic>
              </a:graphicData>
            </a:graphic>
          </wp:anchor>
        </w:drawing>
      </w:r>
      <w:r>
        <w:rPr/>
        <w:t>Alors que les propriétés de durabilité et légèreté des composites contribuent grandement à réduire les blessures dues à la manutention, Fibrelite souhaitait les éliminer complètement. Ils ont identifié le fait de se baisser comme une cause supplémentaire de blessure. Pour résoudre ce problème, ils ont créé une poignée de</w:t>
      </w:r>
    </w:p>
    <w:p>
      <w:pPr>
        <w:pStyle w:val="BodyText"/>
        <w:spacing w:line="480" w:lineRule="auto" w:before="1"/>
        <w:ind w:left="160" w:right="1153"/>
        <w:jc w:val="both"/>
      </w:pPr>
      <w:r>
        <w:rPr/>
        <w:t>levage</w:t>
      </w:r>
      <w:r>
        <w:rPr>
          <w:spacing w:val="-6"/>
        </w:rPr>
        <w:t> </w:t>
      </w:r>
      <w:r>
        <w:rPr/>
        <w:t>ergonomique,</w:t>
      </w:r>
      <w:r>
        <w:rPr>
          <w:spacing w:val="-8"/>
        </w:rPr>
        <w:t> </w:t>
      </w:r>
      <w:r>
        <w:rPr/>
        <w:t>permettant</w:t>
      </w:r>
      <w:r>
        <w:rPr>
          <w:spacing w:val="-8"/>
        </w:rPr>
        <w:t> </w:t>
      </w:r>
      <w:r>
        <w:rPr/>
        <w:t>aux</w:t>
      </w:r>
      <w:r>
        <w:rPr>
          <w:spacing w:val="-7"/>
        </w:rPr>
        <w:t> </w:t>
      </w:r>
      <w:r>
        <w:rPr/>
        <w:t>utilisateurs</w:t>
      </w:r>
      <w:r>
        <w:rPr>
          <w:spacing w:val="-9"/>
        </w:rPr>
        <w:t> </w:t>
      </w:r>
      <w:r>
        <w:rPr/>
        <w:t>de</w:t>
      </w:r>
      <w:r>
        <w:rPr>
          <w:spacing w:val="-6"/>
        </w:rPr>
        <w:t> </w:t>
      </w:r>
      <w:r>
        <w:rPr/>
        <w:t>retirer</w:t>
      </w:r>
      <w:r>
        <w:rPr>
          <w:spacing w:val="-7"/>
        </w:rPr>
        <w:t> </w:t>
      </w:r>
      <w:r>
        <w:rPr/>
        <w:t>et</w:t>
      </w:r>
      <w:r>
        <w:rPr>
          <w:spacing w:val="-7"/>
        </w:rPr>
        <w:t> </w:t>
      </w:r>
      <w:r>
        <w:rPr/>
        <w:t>de</w:t>
      </w:r>
      <w:r>
        <w:rPr>
          <w:spacing w:val="-6"/>
        </w:rPr>
        <w:t> </w:t>
      </w:r>
      <w:r>
        <w:rPr/>
        <w:t>remplacer</w:t>
      </w:r>
      <w:r>
        <w:rPr>
          <w:spacing w:val="-6"/>
        </w:rPr>
        <w:t> </w:t>
      </w:r>
      <w:r>
        <w:rPr/>
        <w:t>en</w:t>
      </w:r>
      <w:r>
        <w:rPr>
          <w:spacing w:val="-7"/>
        </w:rPr>
        <w:t> </w:t>
      </w:r>
      <w:r>
        <w:rPr/>
        <w:t>toute</w:t>
      </w:r>
      <w:r>
        <w:rPr>
          <w:spacing w:val="-5"/>
        </w:rPr>
        <w:t> </w:t>
      </w:r>
      <w:r>
        <w:rPr/>
        <w:t>sécurité les</w:t>
      </w:r>
      <w:r>
        <w:rPr>
          <w:spacing w:val="-8"/>
        </w:rPr>
        <w:t> </w:t>
      </w:r>
      <w:r>
        <w:rPr/>
        <w:t>couvercles</w:t>
      </w:r>
      <w:r>
        <w:rPr>
          <w:spacing w:val="-8"/>
        </w:rPr>
        <w:t> </w:t>
      </w:r>
      <w:r>
        <w:rPr/>
        <w:t>en</w:t>
      </w:r>
      <w:r>
        <w:rPr>
          <w:spacing w:val="-6"/>
        </w:rPr>
        <w:t> </w:t>
      </w:r>
      <w:r>
        <w:rPr/>
        <w:t>gardant</w:t>
      </w:r>
      <w:r>
        <w:rPr>
          <w:spacing w:val="-9"/>
        </w:rPr>
        <w:t> </w:t>
      </w:r>
      <w:r>
        <w:rPr/>
        <w:t>la</w:t>
      </w:r>
      <w:r>
        <w:rPr>
          <w:spacing w:val="-7"/>
        </w:rPr>
        <w:t> </w:t>
      </w:r>
      <w:r>
        <w:rPr/>
        <w:t>charge</w:t>
      </w:r>
      <w:r>
        <w:rPr>
          <w:spacing w:val="-7"/>
        </w:rPr>
        <w:t> </w:t>
      </w:r>
      <w:r>
        <w:rPr/>
        <w:t>près</w:t>
      </w:r>
      <w:r>
        <w:rPr>
          <w:spacing w:val="-10"/>
        </w:rPr>
        <w:t> </w:t>
      </w:r>
      <w:r>
        <w:rPr/>
        <w:t>de</w:t>
      </w:r>
      <w:r>
        <w:rPr>
          <w:spacing w:val="-7"/>
        </w:rPr>
        <w:t> </w:t>
      </w:r>
      <w:r>
        <w:rPr/>
        <w:t>la</w:t>
      </w:r>
      <w:r>
        <w:rPr>
          <w:spacing w:val="-7"/>
        </w:rPr>
        <w:t> </w:t>
      </w:r>
      <w:r>
        <w:rPr/>
        <w:t>taille,</w:t>
      </w:r>
      <w:r>
        <w:rPr>
          <w:spacing w:val="-8"/>
        </w:rPr>
        <w:t> </w:t>
      </w:r>
      <w:r>
        <w:rPr/>
        <w:t>en</w:t>
      </w:r>
      <w:r>
        <w:rPr>
          <w:spacing w:val="-6"/>
        </w:rPr>
        <w:t> </w:t>
      </w:r>
      <w:r>
        <w:rPr/>
        <w:t>évitant</w:t>
      </w:r>
      <w:r>
        <w:rPr>
          <w:spacing w:val="-9"/>
        </w:rPr>
        <w:t> </w:t>
      </w:r>
      <w:r>
        <w:rPr/>
        <w:t>de</w:t>
      </w:r>
      <w:r>
        <w:rPr>
          <w:spacing w:val="-7"/>
        </w:rPr>
        <w:t> </w:t>
      </w:r>
      <w:r>
        <w:rPr/>
        <w:t>se</w:t>
      </w:r>
      <w:r>
        <w:rPr>
          <w:spacing w:val="-8"/>
        </w:rPr>
        <w:t> </w:t>
      </w:r>
      <w:r>
        <w:rPr/>
        <w:t>baisser</w:t>
      </w:r>
      <w:r>
        <w:rPr>
          <w:spacing w:val="-10"/>
        </w:rPr>
        <w:t> </w:t>
      </w:r>
      <w:r>
        <w:rPr/>
        <w:t>ou</w:t>
      </w:r>
      <w:r>
        <w:rPr>
          <w:spacing w:val="-6"/>
        </w:rPr>
        <w:t> </w:t>
      </w:r>
      <w:r>
        <w:rPr/>
        <w:t>de</w:t>
      </w:r>
      <w:r>
        <w:rPr>
          <w:spacing w:val="-9"/>
        </w:rPr>
        <w:t> </w:t>
      </w:r>
      <w:r>
        <w:rPr/>
        <w:t>plier</w:t>
      </w:r>
      <w:r>
        <w:rPr>
          <w:spacing w:val="-7"/>
        </w:rPr>
        <w:t> </w:t>
      </w:r>
      <w:r>
        <w:rPr/>
        <w:t>le</w:t>
      </w:r>
      <w:r>
        <w:rPr>
          <w:spacing w:val="-10"/>
        </w:rPr>
        <w:t> </w:t>
      </w:r>
      <w:r>
        <w:rPr/>
        <w:t>dos. Les</w:t>
      </w:r>
      <w:r>
        <w:rPr>
          <w:spacing w:val="-3"/>
        </w:rPr>
        <w:t> </w:t>
      </w:r>
      <w:r>
        <w:rPr/>
        <w:t>utilisateurs</w:t>
      </w:r>
      <w:r>
        <w:rPr>
          <w:spacing w:val="-7"/>
        </w:rPr>
        <w:t> </w:t>
      </w:r>
      <w:r>
        <w:rPr/>
        <w:t>utilisent</w:t>
      </w:r>
      <w:r>
        <w:rPr>
          <w:spacing w:val="-5"/>
        </w:rPr>
        <w:t> </w:t>
      </w:r>
      <w:r>
        <w:rPr/>
        <w:t>ainsi</w:t>
      </w:r>
      <w:r>
        <w:rPr>
          <w:spacing w:val="-2"/>
        </w:rPr>
        <w:t> </w:t>
      </w:r>
      <w:r>
        <w:rPr/>
        <w:t>la</w:t>
      </w:r>
      <w:r>
        <w:rPr>
          <w:spacing w:val="-6"/>
        </w:rPr>
        <w:t> </w:t>
      </w:r>
      <w:r>
        <w:rPr/>
        <w:t>technique</w:t>
      </w:r>
      <w:r>
        <w:rPr>
          <w:spacing w:val="-8"/>
        </w:rPr>
        <w:t> </w:t>
      </w:r>
      <w:r>
        <w:rPr/>
        <w:t>de</w:t>
      </w:r>
      <w:r>
        <w:rPr>
          <w:spacing w:val="-2"/>
        </w:rPr>
        <w:t> </w:t>
      </w:r>
      <w:r>
        <w:rPr/>
        <w:t>levage</w:t>
      </w:r>
      <w:r>
        <w:rPr>
          <w:spacing w:val="-4"/>
        </w:rPr>
        <w:t> </w:t>
      </w:r>
      <w:r>
        <w:rPr/>
        <w:t>conseillée</w:t>
      </w:r>
      <w:r>
        <w:rPr>
          <w:spacing w:val="-5"/>
        </w:rPr>
        <w:t> </w:t>
      </w:r>
      <w:r>
        <w:rPr/>
        <w:t>à</w:t>
      </w:r>
      <w:r>
        <w:rPr>
          <w:spacing w:val="-4"/>
        </w:rPr>
        <w:t> </w:t>
      </w:r>
      <w:r>
        <w:rPr/>
        <w:t>la</w:t>
      </w:r>
      <w:r>
        <w:rPr>
          <w:spacing w:val="-7"/>
        </w:rPr>
        <w:t> </w:t>
      </w:r>
      <w:r>
        <w:rPr/>
        <w:t>fois</w:t>
      </w:r>
      <w:r>
        <w:rPr>
          <w:spacing w:val="-4"/>
        </w:rPr>
        <w:t> </w:t>
      </w:r>
      <w:r>
        <w:rPr/>
        <w:t>par</w:t>
      </w:r>
      <w:r>
        <w:rPr>
          <w:spacing w:val="-6"/>
        </w:rPr>
        <w:t> </w:t>
      </w:r>
      <w:r>
        <w:rPr/>
        <w:t>le</w:t>
      </w:r>
      <w:r>
        <w:rPr>
          <w:spacing w:val="-4"/>
        </w:rPr>
        <w:t> </w:t>
      </w:r>
      <w:r>
        <w:rPr/>
        <w:t>HSE</w:t>
      </w:r>
      <w:r>
        <w:rPr>
          <w:vertAlign w:val="superscript"/>
        </w:rPr>
        <w:t>3</w:t>
      </w:r>
      <w:r>
        <w:rPr>
          <w:spacing w:val="-6"/>
          <w:vertAlign w:val="baseline"/>
        </w:rPr>
        <w:t> </w:t>
      </w:r>
      <w:r>
        <w:rPr>
          <w:vertAlign w:val="baseline"/>
        </w:rPr>
        <w:t>et</w:t>
      </w:r>
      <w:r>
        <w:rPr>
          <w:spacing w:val="-5"/>
          <w:vertAlign w:val="baseline"/>
        </w:rPr>
        <w:t> </w:t>
      </w:r>
      <w:r>
        <w:rPr>
          <w:vertAlign w:val="baseline"/>
        </w:rPr>
        <w:t>le</w:t>
      </w:r>
      <w:r>
        <w:rPr>
          <w:spacing w:val="-5"/>
          <w:vertAlign w:val="baseline"/>
        </w:rPr>
        <w:t> </w:t>
      </w:r>
      <w:r>
        <w:rPr>
          <w:vertAlign w:val="baseline"/>
        </w:rPr>
        <w:t>NHS</w:t>
      </w:r>
      <w:r>
        <w:rPr>
          <w:vertAlign w:val="superscript"/>
        </w:rPr>
        <w:t>4</w:t>
      </w:r>
      <w:r>
        <w:rPr>
          <w:vertAlign w:val="baseline"/>
        </w:rPr>
        <w:t>.</w:t>
      </w:r>
    </w:p>
    <w:p>
      <w:pPr>
        <w:pStyle w:val="BodyText"/>
        <w:spacing w:line="480" w:lineRule="auto" w:before="160"/>
        <w:ind w:left="160" w:right="1153"/>
        <w:jc w:val="both"/>
      </w:pPr>
      <w:r>
        <w:rPr/>
        <w:t>Fibrelite a également pris en compte la sécurité des personnes et des véhicules passant sur les couvertures. Contrairement aux couvertures en métal et en béton qui peuvent devenir dangereuses lorsqu'elles sont mouillées ou usées, les couvertures Fibrelite ont été conçues pour fournir une surface de marche et de conduite sûre, testée pour être équivalente aux surfaces routières modernes de haute qualité</w:t>
      </w:r>
      <w:r>
        <w:rPr>
          <w:vertAlign w:val="superscript"/>
        </w:rPr>
        <w:t>5</w:t>
      </w:r>
      <w:r>
        <w:rPr>
          <w:vertAlign w:val="baseline"/>
        </w:rPr>
        <w:t>.</w:t>
      </w:r>
    </w:p>
    <w:p>
      <w:pPr>
        <w:pStyle w:val="BodyText"/>
        <w:spacing w:line="480" w:lineRule="auto" w:before="1"/>
        <w:ind w:left="160" w:right="1153"/>
        <w:jc w:val="both"/>
      </w:pPr>
      <w:r>
        <w:rPr/>
        <w:t>Selon le directeur général de Fibrelite, Ian Thompson, il y a eu «une croissance spectaculaire du nombre d'industries réduisant leurs risques pour la santé et la sécurité en utilisant des composites,</w:t>
      </w:r>
      <w:r>
        <w:rPr>
          <w:spacing w:val="-7"/>
        </w:rPr>
        <w:t> </w:t>
      </w:r>
      <w:r>
        <w:rPr/>
        <w:t>à</w:t>
      </w:r>
      <w:r>
        <w:rPr>
          <w:spacing w:val="-6"/>
        </w:rPr>
        <w:t> </w:t>
      </w:r>
      <w:r>
        <w:rPr/>
        <w:t>la</w:t>
      </w:r>
      <w:r>
        <w:rPr>
          <w:spacing w:val="-6"/>
        </w:rPr>
        <w:t> </w:t>
      </w:r>
      <w:r>
        <w:rPr/>
        <w:t>fois</w:t>
      </w:r>
      <w:r>
        <w:rPr>
          <w:spacing w:val="-6"/>
        </w:rPr>
        <w:t> </w:t>
      </w:r>
      <w:r>
        <w:rPr/>
        <w:t>dans</w:t>
      </w:r>
      <w:r>
        <w:rPr>
          <w:spacing w:val="-5"/>
        </w:rPr>
        <w:t> </w:t>
      </w:r>
      <w:r>
        <w:rPr/>
        <w:t>les</w:t>
      </w:r>
      <w:r>
        <w:rPr>
          <w:spacing w:val="-6"/>
        </w:rPr>
        <w:t> </w:t>
      </w:r>
      <w:r>
        <w:rPr/>
        <w:t>nouvelles</w:t>
      </w:r>
      <w:r>
        <w:rPr>
          <w:spacing w:val="-6"/>
        </w:rPr>
        <w:t> </w:t>
      </w:r>
      <w:r>
        <w:rPr/>
        <w:t>installations</w:t>
      </w:r>
      <w:r>
        <w:rPr>
          <w:spacing w:val="-5"/>
        </w:rPr>
        <w:t> </w:t>
      </w:r>
      <w:r>
        <w:rPr/>
        <w:t>où</w:t>
      </w:r>
      <w:r>
        <w:rPr>
          <w:spacing w:val="-5"/>
        </w:rPr>
        <w:t> </w:t>
      </w:r>
      <w:r>
        <w:rPr/>
        <w:t>nos</w:t>
      </w:r>
      <w:r>
        <w:rPr>
          <w:spacing w:val="-6"/>
        </w:rPr>
        <w:t> </w:t>
      </w:r>
      <w:r>
        <w:rPr/>
        <w:t>couvertures</w:t>
      </w:r>
      <w:r>
        <w:rPr>
          <w:spacing w:val="-5"/>
        </w:rPr>
        <w:t> </w:t>
      </w:r>
      <w:r>
        <w:rPr/>
        <w:t>sont</w:t>
      </w:r>
      <w:r>
        <w:rPr>
          <w:spacing w:val="-5"/>
        </w:rPr>
        <w:t> </w:t>
      </w:r>
      <w:r>
        <w:rPr/>
        <w:t>spécifiées</w:t>
      </w:r>
      <w:r>
        <w:rPr>
          <w:spacing w:val="-7"/>
        </w:rPr>
        <w:t> </w:t>
      </w:r>
      <w:r>
        <w:rPr/>
        <w:t>dès</w:t>
      </w:r>
      <w:r>
        <w:rPr>
          <w:spacing w:val="-6"/>
        </w:rPr>
        <w:t> </w:t>
      </w:r>
      <w:r>
        <w:rPr/>
        <w:t>le départ et dans les installations existantes qui modernisent leurs couvertures installées</w:t>
      </w:r>
      <w:r>
        <w:rPr>
          <w:spacing w:val="-20"/>
        </w:rPr>
        <w:t> </w:t>
      </w:r>
      <w:r>
        <w:rPr/>
        <w:t>».</w:t>
      </w:r>
    </w:p>
    <w:p>
      <w:pPr>
        <w:pStyle w:val="BodyText"/>
        <w:spacing w:before="2"/>
        <w:ind w:left="160"/>
      </w:pPr>
      <w:r>
        <w:rPr/>
        <w:t>FIN</w:t>
      </w:r>
    </w:p>
    <w:p>
      <w:pPr>
        <w:pStyle w:val="BodyText"/>
        <w:spacing w:before="11"/>
        <w:rPr>
          <w:sz w:val="23"/>
        </w:rPr>
      </w:pPr>
    </w:p>
    <w:p>
      <w:pPr>
        <w:pStyle w:val="BodyText"/>
        <w:ind w:left="160"/>
        <w:jc w:val="both"/>
      </w:pPr>
      <w:r>
        <w:rPr/>
        <w:t>Pour de plus amples informations, visiter notre site </w:t>
      </w:r>
      <w:hyperlink r:id="rId12">
        <w:r>
          <w:rPr>
            <w:color w:val="0462C1"/>
            <w:u w:val="single" w:color="0462C1"/>
          </w:rPr>
          <w:t>www.fibrelite.com</w:t>
        </w:r>
      </w:hyperlink>
    </w:p>
    <w:p>
      <w:pPr>
        <w:pStyle w:val="BodyText"/>
        <w:spacing w:before="11"/>
        <w:rPr>
          <w:sz w:val="17"/>
        </w:rPr>
      </w:pPr>
    </w:p>
    <w:p>
      <w:pPr>
        <w:spacing w:line="243" w:lineRule="exact" w:before="77"/>
        <w:ind w:left="160" w:right="0" w:firstLine="0"/>
        <w:jc w:val="left"/>
        <w:rPr>
          <w:sz w:val="20"/>
        </w:rPr>
      </w:pPr>
      <w:r>
        <w:rPr>
          <w:sz w:val="20"/>
          <w:vertAlign w:val="superscript"/>
        </w:rPr>
        <w:t>3</w:t>
      </w:r>
      <w:r>
        <w:rPr>
          <w:sz w:val="20"/>
          <w:vertAlign w:val="baseline"/>
        </w:rPr>
        <w:t> "Manual Handling" </w:t>
      </w:r>
      <w:hyperlink r:id="rId13">
        <w:r>
          <w:rPr>
            <w:color w:val="0462C1"/>
            <w:sz w:val="20"/>
            <w:u w:val="single" w:color="0462C1"/>
            <w:vertAlign w:val="baseline"/>
          </w:rPr>
          <w:t>http://www.hse.gov.uk/msd/manualhandling.htm</w:t>
        </w:r>
      </w:hyperlink>
    </w:p>
    <w:p>
      <w:pPr>
        <w:spacing w:line="243" w:lineRule="exact" w:before="0"/>
        <w:ind w:left="160" w:right="0" w:firstLine="0"/>
        <w:jc w:val="left"/>
        <w:rPr>
          <w:sz w:val="20"/>
        </w:rPr>
      </w:pPr>
      <w:r>
        <w:rPr>
          <w:sz w:val="20"/>
          <w:vertAlign w:val="superscript"/>
        </w:rPr>
        <w:t>4</w:t>
      </w:r>
      <w:r>
        <w:rPr>
          <w:sz w:val="20"/>
          <w:vertAlign w:val="baseline"/>
        </w:rPr>
        <w:t> "Safe Lifting Tips - NHS Choices" </w:t>
      </w:r>
      <w:hyperlink r:id="rId14">
        <w:r>
          <w:rPr>
            <w:color w:val="0462C1"/>
            <w:sz w:val="20"/>
            <w:u w:val="single" w:color="0462C1"/>
            <w:vertAlign w:val="baseline"/>
          </w:rPr>
          <w:t>https://www.nhs.uk/livewell/workplacehealth/pages/safe-lifting-tips.aspx</w:t>
        </w:r>
      </w:hyperlink>
    </w:p>
    <w:p>
      <w:pPr>
        <w:spacing w:before="0"/>
        <w:ind w:left="160" w:right="0" w:firstLine="0"/>
        <w:jc w:val="left"/>
        <w:rPr>
          <w:sz w:val="20"/>
        </w:rPr>
      </w:pPr>
      <w:r>
        <w:rPr>
          <w:sz w:val="20"/>
          <w:vertAlign w:val="superscript"/>
        </w:rPr>
        <w:t>5</w:t>
      </w:r>
      <w:r>
        <w:rPr>
          <w:sz w:val="20"/>
          <w:vertAlign w:val="baseline"/>
        </w:rPr>
        <w:t> Get-A-Grip </w:t>
      </w:r>
      <w:hyperlink r:id="rId15">
        <w:r>
          <w:rPr>
            <w:color w:val="0462C1"/>
            <w:sz w:val="20"/>
            <w:u w:val="single" w:color="0462C1"/>
            <w:vertAlign w:val="baseline"/>
          </w:rPr>
          <w:t>http://fibrelite.fivetalents.co.uk/wp-content/uploads/2016/12/Fibrelite-Anti-skid-Anti-slip.pdf</w:t>
        </w:r>
      </w:hyperlink>
    </w:p>
    <w:p>
      <w:pPr>
        <w:spacing w:after="0"/>
        <w:jc w:val="left"/>
        <w:rPr>
          <w:sz w:val="20"/>
        </w:rPr>
        <w:sectPr>
          <w:pgSz w:w="11910" w:h="16840"/>
          <w:pgMar w:header="719" w:footer="1000" w:top="1660" w:bottom="1200" w:left="1280" w:right="2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5"/>
        </w:rPr>
      </w:pPr>
    </w:p>
    <w:p>
      <w:pPr>
        <w:pStyle w:val="Heading1"/>
        <w:spacing w:before="51"/>
      </w:pPr>
      <w:r>
        <w:rPr>
          <w:u w:val="single"/>
        </w:rPr>
        <w:t>Notes pour les éditeurs:</w:t>
      </w:r>
    </w:p>
    <w:p>
      <w:pPr>
        <w:pStyle w:val="BodyText"/>
        <w:spacing w:before="9"/>
        <w:rPr>
          <w:b/>
          <w:sz w:val="20"/>
        </w:rPr>
      </w:pPr>
    </w:p>
    <w:p>
      <w:pPr>
        <w:pStyle w:val="BodyText"/>
        <w:spacing w:before="52"/>
        <w:ind w:left="160"/>
      </w:pPr>
      <w:r>
        <w:rPr/>
        <w:t>Images en haute définition ci attachées</w:t>
      </w:r>
    </w:p>
    <w:p>
      <w:pPr>
        <w:pStyle w:val="BodyText"/>
        <w:spacing w:before="2"/>
        <w:rPr>
          <w:sz w:val="25"/>
        </w:rPr>
      </w:pPr>
    </w:p>
    <w:p>
      <w:pPr>
        <w:pStyle w:val="Heading1"/>
        <w:spacing w:before="0"/>
      </w:pPr>
      <w:r>
        <w:rPr/>
        <w:t>A propos de Fibrelite</w:t>
      </w:r>
    </w:p>
    <w:p>
      <w:pPr>
        <w:pStyle w:val="BodyText"/>
        <w:spacing w:before="2"/>
        <w:rPr>
          <w:b/>
          <w:sz w:val="25"/>
        </w:rPr>
      </w:pPr>
    </w:p>
    <w:p>
      <w:pPr>
        <w:pStyle w:val="BodyText"/>
        <w:spacing w:line="360" w:lineRule="auto"/>
        <w:ind w:left="160" w:right="1152"/>
        <w:jc w:val="both"/>
      </w:pPr>
      <w:r>
        <w:rPr/>
        <w:t>Fibrelite est à la pointe de la technologie des composites depuis 1980, fournissant à plus de 80 pays à travers le monde, avec une fabrication au Royaume-Uni, aux États-Unis et en Malaisie.</w:t>
      </w:r>
      <w:r>
        <w:rPr>
          <w:spacing w:val="-9"/>
        </w:rPr>
        <w:t> </w:t>
      </w:r>
      <w:r>
        <w:rPr/>
        <w:t>Les</w:t>
      </w:r>
      <w:r>
        <w:rPr>
          <w:spacing w:val="-9"/>
        </w:rPr>
        <w:t> </w:t>
      </w:r>
      <w:r>
        <w:rPr/>
        <w:t>produits</w:t>
      </w:r>
      <w:r>
        <w:rPr>
          <w:spacing w:val="-7"/>
        </w:rPr>
        <w:t> </w:t>
      </w:r>
      <w:r>
        <w:rPr/>
        <w:t>Fibrelite</w:t>
      </w:r>
      <w:r>
        <w:rPr>
          <w:spacing w:val="-8"/>
        </w:rPr>
        <w:t> </w:t>
      </w:r>
      <w:r>
        <w:rPr/>
        <w:t>sont</w:t>
      </w:r>
      <w:r>
        <w:rPr>
          <w:spacing w:val="-10"/>
        </w:rPr>
        <w:t> </w:t>
      </w:r>
      <w:r>
        <w:rPr/>
        <w:t>conçus</w:t>
      </w:r>
      <w:r>
        <w:rPr>
          <w:spacing w:val="-7"/>
        </w:rPr>
        <w:t> </w:t>
      </w:r>
      <w:r>
        <w:rPr/>
        <w:t>avec</w:t>
      </w:r>
      <w:r>
        <w:rPr>
          <w:spacing w:val="-9"/>
        </w:rPr>
        <w:t> </w:t>
      </w:r>
      <w:r>
        <w:rPr/>
        <w:t>le</w:t>
      </w:r>
      <w:r>
        <w:rPr>
          <w:spacing w:val="-11"/>
        </w:rPr>
        <w:t> </w:t>
      </w:r>
      <w:r>
        <w:rPr/>
        <w:t>plus</w:t>
      </w:r>
      <w:r>
        <w:rPr>
          <w:spacing w:val="-8"/>
        </w:rPr>
        <w:t> </w:t>
      </w:r>
      <w:r>
        <w:rPr/>
        <w:t>grand</w:t>
      </w:r>
      <w:r>
        <w:rPr>
          <w:spacing w:val="-8"/>
        </w:rPr>
        <w:t> </w:t>
      </w:r>
      <w:r>
        <w:rPr/>
        <w:t>soin</w:t>
      </w:r>
      <w:r>
        <w:rPr>
          <w:spacing w:val="-6"/>
        </w:rPr>
        <w:t> </w:t>
      </w:r>
      <w:r>
        <w:rPr/>
        <w:t>pour</w:t>
      </w:r>
      <w:r>
        <w:rPr>
          <w:spacing w:val="-11"/>
        </w:rPr>
        <w:t> </w:t>
      </w:r>
      <w:r>
        <w:rPr/>
        <w:t>répondre</w:t>
      </w:r>
      <w:r>
        <w:rPr>
          <w:spacing w:val="-8"/>
        </w:rPr>
        <w:t> </w:t>
      </w:r>
      <w:r>
        <w:rPr/>
        <w:t>aux</w:t>
      </w:r>
      <w:r>
        <w:rPr>
          <w:spacing w:val="-9"/>
        </w:rPr>
        <w:t> </w:t>
      </w:r>
      <w:r>
        <w:rPr/>
        <w:t>besoins spécifiques des clients, avec un support technique expérimenté toujours disponible. Ils offrent le choix le plus complet de panneaux de tranchée et de capacités de charge de l'industrie, ainsi que des solutions sur</w:t>
      </w:r>
      <w:r>
        <w:rPr>
          <w:spacing w:val="-5"/>
        </w:rPr>
        <w:t> </w:t>
      </w:r>
      <w:r>
        <w:rPr/>
        <w:t>mesure.</w:t>
      </w:r>
    </w:p>
    <w:p>
      <w:pPr>
        <w:pStyle w:val="Heading1"/>
        <w:spacing w:line="360" w:lineRule="auto"/>
        <w:ind w:right="1159"/>
        <w:jc w:val="both"/>
      </w:pPr>
      <w:r>
        <w:rPr/>
        <w:t>Pour parcourir les différentes applications des tampons en composite Fibrelite dans divers secteurs industriels, visitez notre site :</w:t>
      </w:r>
    </w:p>
    <w:p>
      <w:pPr>
        <w:spacing w:before="160"/>
        <w:ind w:left="160" w:right="0" w:firstLine="0"/>
        <w:jc w:val="left"/>
        <w:rPr>
          <w:b/>
          <w:sz w:val="24"/>
        </w:rPr>
      </w:pPr>
      <w:hyperlink r:id="rId16">
        <w:r>
          <w:rPr>
            <w:b/>
            <w:color w:val="0462C1"/>
            <w:sz w:val="24"/>
            <w:u w:val="single" w:color="0462C1"/>
          </w:rPr>
          <w:t>http://www.fibrelite.com/i-case-study-industries</w:t>
        </w:r>
      </w:hyperlink>
    </w:p>
    <w:p>
      <w:pPr>
        <w:pStyle w:val="BodyText"/>
        <w:spacing w:before="11"/>
        <w:rPr>
          <w:b/>
          <w:sz w:val="20"/>
        </w:rPr>
      </w:pPr>
    </w:p>
    <w:p>
      <w:pPr>
        <w:pStyle w:val="BodyText"/>
        <w:spacing w:line="360" w:lineRule="auto" w:before="52"/>
        <w:ind w:left="160" w:right="1119"/>
      </w:pPr>
      <w:r>
        <w:rPr/>
        <w:t>Pour plus d’informations, Veuillez contacter Aaron McConkey </w:t>
      </w:r>
      <w:hyperlink r:id="rId17">
        <w:r>
          <w:rPr/>
          <w:t>(aaron@fibrelite.com </w:t>
        </w:r>
      </w:hyperlink>
      <w:r>
        <w:rPr/>
        <w:t>et +44 (0) 1756 799 773)</w:t>
      </w:r>
    </w:p>
    <w:p>
      <w:pPr>
        <w:pStyle w:val="BodyText"/>
        <w:spacing w:before="160"/>
        <w:ind w:left="160"/>
      </w:pPr>
      <w:r>
        <w:rPr/>
        <w:t>Fibrelite; Snaygill Industrial Estate; Keighley Road; Skipton; North Yorkshire BD23 2QR</w:t>
      </w:r>
    </w:p>
    <w:sectPr>
      <w:pgSz w:w="11910" w:h="16840"/>
      <w:pgMar w:header="719" w:footer="1000" w:top="1660" w:bottom="1200" w:left="128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3.100006pt;margin-top:780.895996pt;width:54.4pt;height:13.05pt;mso-position-horizontal-relative:page;mso-position-vertical-relative:page;z-index:-15800832" type="#_x0000_t202" filled="false" stroked="false">
          <v:textbox inset="0,0,0,0">
            <w:txbxContent>
              <w:p>
                <w:pPr>
                  <w:spacing w:line="245" w:lineRule="exact" w:before="0"/>
                  <w:ind w:left="20" w:right="0" w:firstLine="0"/>
                  <w:jc w:val="left"/>
                  <w:rPr>
                    <w:sz w:val="22"/>
                  </w:rPr>
                </w:pPr>
                <w:r>
                  <w:rPr>
                    <w:color w:val="585858"/>
                    <w:sz w:val="22"/>
                  </w:rPr>
                  <w:t>Page </w:t>
                </w:r>
                <w:r>
                  <w:rPr/>
                  <w:fldChar w:fldCharType="begin"/>
                </w:r>
                <w:r>
                  <w:rPr>
                    <w:color w:val="585858"/>
                    <w:sz w:val="22"/>
                  </w:rPr>
                  <w:instrText> PAGE </w:instrText>
                </w:r>
                <w:r>
                  <w:rPr/>
                  <w:fldChar w:fldCharType="separate"/>
                </w:r>
                <w:r>
                  <w:rPr/>
                  <w:t>1</w:t>
                </w:r>
                <w:r>
                  <w:rPr/>
                  <w:fldChar w:fldCharType="end"/>
                </w:r>
                <w:r>
                  <w:rPr>
                    <w:color w:val="585858"/>
                    <w:sz w:val="22"/>
                  </w:rPr>
                  <w:t> of 4</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14624">
          <wp:simplePos x="0" y="0"/>
          <wp:positionH relativeFrom="page">
            <wp:posOffset>4474209</wp:posOffset>
          </wp:positionH>
          <wp:positionV relativeFrom="page">
            <wp:posOffset>456564</wp:posOffset>
          </wp:positionV>
          <wp:extent cx="2170430" cy="285115"/>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170430" cy="28511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1.024002pt;margin-top:36.799984pt;width:128.1pt;height:14pt;mso-position-horizontal-relative:page;mso-position-vertical-relative:page;z-index:-15801344" type="#_x0000_t202" filled="false" stroked="false">
          <v:textbox inset="0,0,0,0">
            <w:txbxContent>
              <w:p>
                <w:pPr>
                  <w:spacing w:line="264" w:lineRule="exact" w:before="0"/>
                  <w:ind w:left="20" w:right="0" w:firstLine="0"/>
                  <w:jc w:val="left"/>
                  <w:rPr>
                    <w:i/>
                    <w:sz w:val="24"/>
                  </w:rPr>
                </w:pPr>
                <w:r>
                  <w:rPr>
                    <w:i/>
                    <w:sz w:val="24"/>
                  </w:rPr>
                  <w:t>Press Release 16/10/2020</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fr-FR" w:eastAsia="en-US" w:bidi="ar-SA"/>
    </w:rPr>
  </w:style>
  <w:style w:styleId="BodyText" w:type="paragraph">
    <w:name w:val="Body Text"/>
    <w:basedOn w:val="Normal"/>
    <w:uiPriority w:val="1"/>
    <w:qFormat/>
    <w:pPr/>
    <w:rPr>
      <w:rFonts w:ascii="Calibri" w:hAnsi="Calibri" w:eastAsia="Calibri" w:cs="Calibri"/>
      <w:sz w:val="24"/>
      <w:szCs w:val="24"/>
      <w:lang w:val="fr-FR" w:eastAsia="en-US" w:bidi="ar-SA"/>
    </w:rPr>
  </w:style>
  <w:style w:styleId="Heading1" w:type="paragraph">
    <w:name w:val="Heading 1"/>
    <w:basedOn w:val="Normal"/>
    <w:uiPriority w:val="1"/>
    <w:qFormat/>
    <w:pPr>
      <w:spacing w:before="160"/>
      <w:ind w:left="160"/>
      <w:outlineLvl w:val="1"/>
    </w:pPr>
    <w:rPr>
      <w:rFonts w:ascii="Calibri" w:hAnsi="Calibri" w:eastAsia="Calibri" w:cs="Calibri"/>
      <w:b/>
      <w:bCs/>
      <w:sz w:val="24"/>
      <w:szCs w:val="24"/>
      <w:lang w:val="fr-FR" w:eastAsia="en-US" w:bidi="ar-SA"/>
    </w:rPr>
  </w:style>
  <w:style w:styleId="Title" w:type="paragraph">
    <w:name w:val="Title"/>
    <w:basedOn w:val="Normal"/>
    <w:uiPriority w:val="1"/>
    <w:qFormat/>
    <w:pPr>
      <w:spacing w:before="188"/>
      <w:ind w:left="580"/>
    </w:pPr>
    <w:rPr>
      <w:rFonts w:ascii="Calibri" w:hAnsi="Calibri" w:eastAsia="Calibri" w:cs="Calibri"/>
      <w:b/>
      <w:bCs/>
      <w:sz w:val="32"/>
      <w:szCs w:val="32"/>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hyperlink" Target="http://www.hse.gov.uk/statistics/dayslost.htm" TargetMode="External"/><Relationship Id="rId9" Type="http://schemas.openxmlformats.org/officeDocument/2006/relationships/hyperlink" Target="http://www.hse.gov.uk/statistics/causinj/" TargetMode="Externa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hyperlink" Target="http://www.fibrelite.com/" TargetMode="External"/><Relationship Id="rId13" Type="http://schemas.openxmlformats.org/officeDocument/2006/relationships/hyperlink" Target="http://www.hse.gov.uk/msd/manualhandling.htm" TargetMode="External"/><Relationship Id="rId14" Type="http://schemas.openxmlformats.org/officeDocument/2006/relationships/hyperlink" Target="https://www.nhs.uk/livewell/workplacehealth/pages/safe-lifting-tips.aspx" TargetMode="External"/><Relationship Id="rId15" Type="http://schemas.openxmlformats.org/officeDocument/2006/relationships/hyperlink" Target="http://fibrelite.fivetalents.co.uk/wp-content/uploads/2016/12/Fibrelite-Anti-skid-Anti-slip.pdf" TargetMode="External"/><Relationship Id="rId16" Type="http://schemas.openxmlformats.org/officeDocument/2006/relationships/hyperlink" Target="http://www.fibrelite.com/i-case-study-industries" TargetMode="External"/><Relationship Id="rId17" Type="http://schemas.openxmlformats.org/officeDocument/2006/relationships/hyperlink" Target="mailto:(aaron@fibrel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McConkey, Aaron</dc:creator>
  <dcterms:created xsi:type="dcterms:W3CDTF">2020-10-28T14:25:42Z</dcterms:created>
  <dcterms:modified xsi:type="dcterms:W3CDTF">2020-10-28T14:25:42Z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2020-10-16T00:00:00Z</vt:filetime>
  </property>
  <property fmtid="{D5CDD505-2E9C-101B-9397-08002B2CF9AE}" pid="3" name="Creator">
    <vt:lpwstr>Microsoft® Word pour Office 365</vt:lpwstr>
  </property>
  <property fmtid="{D5CDD505-2E9C-101B-9397-08002B2CF9AE}" pid="4" name="LastSaved">
    <vt:filetime>2020-10-28T00:00:00Z</vt:filetime>
  </property>
</Properties>
</file>